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63" w:rsidRDefault="001F1A3E" w:rsidP="009C6F63">
      <w:pPr>
        <w:pStyle w:val="Default"/>
      </w:pPr>
      <w:r w:rsidRPr="001F1A3E">
        <w:t>Zbiorcza informacja o petycjach rozpatrzonych w 201</w:t>
      </w:r>
      <w:r w:rsidR="00777402">
        <w:t>9</w:t>
      </w:r>
      <w:r w:rsidRPr="001F1A3E">
        <w:t xml:space="preserve"> roku</w:t>
      </w:r>
    </w:p>
    <w:p w:rsidR="001F1A3E" w:rsidRDefault="001F1A3E" w:rsidP="009C6F63">
      <w:pPr>
        <w:pStyle w:val="Default"/>
      </w:pPr>
    </w:p>
    <w:tbl>
      <w:tblPr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5636"/>
      </w:tblGrid>
      <w:tr w:rsidR="009C6F63" w:rsidTr="00333C8D">
        <w:trPr>
          <w:trHeight w:val="245"/>
        </w:trPr>
        <w:tc>
          <w:tcPr>
            <w:tcW w:w="1101" w:type="dxa"/>
          </w:tcPr>
          <w:p w:rsidR="009C6F63" w:rsidRDefault="009C6F63" w:rsidP="001F1A3E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Liczba petycji </w:t>
            </w:r>
          </w:p>
        </w:tc>
        <w:tc>
          <w:tcPr>
            <w:tcW w:w="3118" w:type="dxa"/>
          </w:tcPr>
          <w:p w:rsidR="009C6F63" w:rsidRDefault="009C6F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Przedmiot petycji </w:t>
            </w:r>
          </w:p>
        </w:tc>
        <w:tc>
          <w:tcPr>
            <w:tcW w:w="5636" w:type="dxa"/>
          </w:tcPr>
          <w:p w:rsidR="009C6F63" w:rsidRDefault="009C6F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Sposób załatwienia petycji </w:t>
            </w:r>
          </w:p>
        </w:tc>
      </w:tr>
      <w:tr w:rsidR="009C6F63" w:rsidTr="00333C8D">
        <w:trPr>
          <w:trHeight w:val="2317"/>
        </w:trPr>
        <w:tc>
          <w:tcPr>
            <w:tcW w:w="1101" w:type="dxa"/>
          </w:tcPr>
          <w:p w:rsidR="009C6F63" w:rsidRPr="008D12B3" w:rsidRDefault="009C6F6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D12B3">
              <w:rPr>
                <w:color w:val="000000" w:themeColor="text1"/>
                <w:sz w:val="23"/>
                <w:szCs w:val="23"/>
              </w:rPr>
              <w:t xml:space="preserve">1 </w:t>
            </w:r>
          </w:p>
        </w:tc>
        <w:tc>
          <w:tcPr>
            <w:tcW w:w="3118" w:type="dxa"/>
          </w:tcPr>
          <w:p w:rsidR="003D51BB" w:rsidRPr="008D12B3" w:rsidRDefault="00A17A80" w:rsidP="003D5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bookmarkStart w:id="0" w:name="_GoBack"/>
            <w:bookmarkEnd w:id="0"/>
            <w:r w:rsidR="003D51BB" w:rsidRPr="008D1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sprawie wprowadzenia Polityki </w:t>
            </w:r>
            <w:r w:rsidR="003D51BB" w:rsidRPr="008D12B3">
              <w:rPr>
                <w:rFonts w:ascii="Times New Roman" w:eastAsia="HiddenHorzOCR" w:hAnsi="Times New Roman" w:cs="Times New Roman"/>
                <w:color w:val="000000" w:themeColor="text1"/>
                <w:sz w:val="24"/>
                <w:szCs w:val="24"/>
              </w:rPr>
              <w:t xml:space="preserve">Zarządzania </w:t>
            </w:r>
            <w:r w:rsidR="003D51BB" w:rsidRPr="008D1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Konfliktem Interesów i wyznaczenia osoby,</w:t>
            </w:r>
          </w:p>
          <w:p w:rsidR="001F1A3E" w:rsidRPr="008D12B3" w:rsidRDefault="003D51BB" w:rsidP="003D51BB">
            <w:pPr>
              <w:pStyle w:val="Default"/>
              <w:rPr>
                <w:color w:val="000000" w:themeColor="text1"/>
              </w:rPr>
            </w:pPr>
            <w:r w:rsidRPr="008D12B3">
              <w:rPr>
                <w:color w:val="000000" w:themeColor="text1"/>
              </w:rPr>
              <w:t>mechanizmów kontrolnych i konsekwencji.</w:t>
            </w:r>
          </w:p>
          <w:p w:rsidR="009C6F63" w:rsidRPr="008D12B3" w:rsidRDefault="009C6F63" w:rsidP="001F1A3E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636" w:type="dxa"/>
          </w:tcPr>
          <w:p w:rsidR="008D12B3" w:rsidRPr="008D12B3" w:rsidRDefault="008D12B3" w:rsidP="008D1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Rada Powiatu Grodziskiego Uchwałą nr </w:t>
            </w:r>
            <w:r w:rsidRPr="008D12B3">
              <w:rPr>
                <w:sz w:val="23"/>
                <w:szCs w:val="23"/>
              </w:rPr>
              <w:t>128/XIII/19</w:t>
            </w:r>
          </w:p>
          <w:p w:rsidR="008D12B3" w:rsidRPr="008D12B3" w:rsidRDefault="008D12B3" w:rsidP="008D1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 dnia 31 października 2019 r. </w:t>
            </w:r>
            <w:r w:rsidRPr="008D12B3">
              <w:rPr>
                <w:sz w:val="23"/>
                <w:szCs w:val="23"/>
              </w:rPr>
              <w:t>w sprawie rozpatrzenia petycji dotyczącej wprowadzenia Polityki Zarządzania</w:t>
            </w:r>
          </w:p>
          <w:p w:rsidR="008D12B3" w:rsidRPr="008D12B3" w:rsidRDefault="008D12B3" w:rsidP="008D12B3">
            <w:pPr>
              <w:pStyle w:val="Default"/>
              <w:rPr>
                <w:sz w:val="23"/>
                <w:szCs w:val="23"/>
              </w:rPr>
            </w:pPr>
            <w:r w:rsidRPr="008D12B3">
              <w:rPr>
                <w:sz w:val="23"/>
                <w:szCs w:val="23"/>
              </w:rPr>
              <w:t>Konfliktem Interesów</w:t>
            </w:r>
            <w:r w:rsidRPr="003D51BB">
              <w:rPr>
                <w:sz w:val="23"/>
                <w:szCs w:val="23"/>
              </w:rPr>
              <w:t xml:space="preserve"> nie</w:t>
            </w:r>
            <w:r>
              <w:rPr>
                <w:sz w:val="23"/>
                <w:szCs w:val="23"/>
              </w:rPr>
              <w:t xml:space="preserve"> </w:t>
            </w:r>
            <w:r w:rsidRPr="003D51BB">
              <w:rPr>
                <w:sz w:val="23"/>
                <w:szCs w:val="23"/>
              </w:rPr>
              <w:t>uwzg</w:t>
            </w:r>
            <w:r>
              <w:rPr>
                <w:sz w:val="23"/>
                <w:szCs w:val="23"/>
              </w:rPr>
              <w:t>lędniła</w:t>
            </w:r>
            <w:r w:rsidRPr="003D51BB">
              <w:rPr>
                <w:sz w:val="23"/>
                <w:szCs w:val="23"/>
              </w:rPr>
              <w:t xml:space="preserve"> petycji dotyczącej wprowadzenia Polityki Zarządzania Konfliktem Interesów</w:t>
            </w:r>
            <w:r w:rsidR="00E6038C">
              <w:rPr>
                <w:sz w:val="23"/>
                <w:szCs w:val="23"/>
              </w:rPr>
              <w:t>.</w:t>
            </w:r>
          </w:p>
          <w:p w:rsidR="003D51BB" w:rsidRDefault="003D51BB" w:rsidP="001F1A3E">
            <w:pPr>
              <w:pStyle w:val="Default"/>
              <w:rPr>
                <w:sz w:val="23"/>
                <w:szCs w:val="23"/>
              </w:rPr>
            </w:pPr>
          </w:p>
          <w:p w:rsidR="009C6F63" w:rsidRDefault="009C6F63" w:rsidP="002A2C0F">
            <w:pPr>
              <w:pStyle w:val="Default"/>
              <w:rPr>
                <w:sz w:val="23"/>
                <w:szCs w:val="23"/>
              </w:rPr>
            </w:pPr>
          </w:p>
        </w:tc>
      </w:tr>
      <w:tr w:rsidR="003D51BB" w:rsidTr="00333C8D">
        <w:trPr>
          <w:trHeight w:val="2317"/>
        </w:trPr>
        <w:tc>
          <w:tcPr>
            <w:tcW w:w="1101" w:type="dxa"/>
          </w:tcPr>
          <w:p w:rsidR="003D51BB" w:rsidRPr="008D12B3" w:rsidRDefault="003D51B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D12B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118" w:type="dxa"/>
          </w:tcPr>
          <w:p w:rsidR="00C25FC4" w:rsidRPr="008D12B3" w:rsidRDefault="008D12B3" w:rsidP="00C25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sprawie </w:t>
            </w:r>
            <w:r w:rsidR="00C25FC4" w:rsidRPr="008D1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dokonania</w:t>
            </w:r>
          </w:p>
          <w:p w:rsidR="00C25FC4" w:rsidRPr="008D12B3" w:rsidRDefault="00C25FC4" w:rsidP="00C25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analizy - możliwości wdrożenia w Urzędzie procedur związanych z pełnym zabezp</w:t>
            </w:r>
            <w:r w:rsidR="00E6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ieczeniem potrzeb Interesantów</w:t>
            </w:r>
          </w:p>
          <w:p w:rsidR="003D51BB" w:rsidRPr="008D12B3" w:rsidRDefault="00C25FC4" w:rsidP="008D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dot. płatności bezgotówkowych</w:t>
            </w:r>
            <w:r w:rsidR="00A17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1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C25FC4" w:rsidRPr="00C25FC4" w:rsidRDefault="008D12B3" w:rsidP="00C25FC4">
            <w:pPr>
              <w:pStyle w:val="Default"/>
              <w:rPr>
                <w:sz w:val="23"/>
                <w:szCs w:val="23"/>
              </w:rPr>
            </w:pPr>
            <w:r w:rsidRPr="008D12B3">
              <w:rPr>
                <w:sz w:val="23"/>
                <w:szCs w:val="23"/>
              </w:rPr>
              <w:t>Ustalono</w:t>
            </w:r>
            <w:r w:rsidR="00E6038C">
              <w:rPr>
                <w:sz w:val="23"/>
                <w:szCs w:val="23"/>
              </w:rPr>
              <w:t>,</w:t>
            </w:r>
            <w:r w:rsidRPr="008D12B3">
              <w:rPr>
                <w:sz w:val="23"/>
                <w:szCs w:val="23"/>
              </w:rPr>
              <w:t xml:space="preserve"> że</w:t>
            </w:r>
            <w:r>
              <w:rPr>
                <w:sz w:val="23"/>
                <w:szCs w:val="23"/>
              </w:rPr>
              <w:t xml:space="preserve"> </w:t>
            </w:r>
            <w:r w:rsidR="004E3DCC" w:rsidRPr="008D12B3">
              <w:rPr>
                <w:sz w:val="23"/>
                <w:szCs w:val="23"/>
              </w:rPr>
              <w:t>dokonanie</w:t>
            </w:r>
            <w:r w:rsidR="004E3DCC">
              <w:rPr>
                <w:sz w:val="23"/>
                <w:szCs w:val="23"/>
              </w:rPr>
              <w:t xml:space="preserve"> analizy - możliwości wdrożenia w urzędz</w:t>
            </w:r>
            <w:r w:rsidR="00C25FC4" w:rsidRPr="00C25FC4">
              <w:rPr>
                <w:sz w:val="23"/>
                <w:szCs w:val="23"/>
              </w:rPr>
              <w:t>ie procedur</w:t>
            </w:r>
            <w:r w:rsidR="004E3DCC">
              <w:rPr>
                <w:sz w:val="23"/>
                <w:szCs w:val="23"/>
              </w:rPr>
              <w:t xml:space="preserve"> </w:t>
            </w:r>
            <w:r w:rsidR="00C25FC4" w:rsidRPr="00C25FC4">
              <w:rPr>
                <w:sz w:val="23"/>
                <w:szCs w:val="23"/>
              </w:rPr>
              <w:t>związanych z pełnym zabezpieczeniem potrzeb interesantów dot. płatności bezgotówkowych nie może</w:t>
            </w:r>
            <w:r w:rsidR="004E3DCC">
              <w:rPr>
                <w:sz w:val="23"/>
                <w:szCs w:val="23"/>
              </w:rPr>
              <w:t xml:space="preserve"> </w:t>
            </w:r>
            <w:r w:rsidR="00C25FC4" w:rsidRPr="00C25FC4">
              <w:rPr>
                <w:sz w:val="23"/>
                <w:szCs w:val="23"/>
              </w:rPr>
              <w:t>być przedmiotem petycji.</w:t>
            </w:r>
          </w:p>
          <w:p w:rsidR="003D51BB" w:rsidRPr="003D51BB" w:rsidRDefault="003D51BB" w:rsidP="00C25FC4">
            <w:pPr>
              <w:pStyle w:val="Default"/>
              <w:rPr>
                <w:sz w:val="23"/>
                <w:szCs w:val="23"/>
              </w:rPr>
            </w:pPr>
          </w:p>
        </w:tc>
      </w:tr>
      <w:tr w:rsidR="00C25FC4" w:rsidTr="00333C8D">
        <w:trPr>
          <w:trHeight w:val="2317"/>
        </w:trPr>
        <w:tc>
          <w:tcPr>
            <w:tcW w:w="1101" w:type="dxa"/>
          </w:tcPr>
          <w:p w:rsidR="00C25FC4" w:rsidRPr="008D12B3" w:rsidRDefault="00C25FC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D12B3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:rsidR="00C25FC4" w:rsidRPr="008D12B3" w:rsidRDefault="008D12B3" w:rsidP="00B80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C25FC4" w:rsidRPr="008D1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sprawie dokończenia budowy chodnika przy drodze powiatowej nr 3833 Szymanów -</w:t>
            </w:r>
            <w:r w:rsidR="00B8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5FC4" w:rsidRPr="008D1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Bronisławów w miejscowości Regów</w:t>
            </w:r>
            <w:r w:rsidR="00A17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36" w:type="dxa"/>
          </w:tcPr>
          <w:p w:rsidR="008D12B3" w:rsidRPr="008D12B3" w:rsidRDefault="008D12B3" w:rsidP="008D1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Zarząd Powiatu Grodziskiego Uchwałą nr </w:t>
            </w:r>
            <w:r w:rsidRPr="008D12B3">
              <w:rPr>
                <w:sz w:val="23"/>
                <w:szCs w:val="23"/>
              </w:rPr>
              <w:t>28</w:t>
            </w:r>
            <w:r>
              <w:rPr>
                <w:sz w:val="23"/>
                <w:szCs w:val="23"/>
              </w:rPr>
              <w:t>3/20</w:t>
            </w:r>
            <w:r w:rsidR="007B6B68">
              <w:rPr>
                <w:sz w:val="23"/>
                <w:szCs w:val="23"/>
              </w:rPr>
              <w:t>20</w:t>
            </w:r>
          </w:p>
          <w:p w:rsidR="00C25FC4" w:rsidRPr="00C25FC4" w:rsidRDefault="008D12B3" w:rsidP="008D1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 dnia 4 marca 2020 r. </w:t>
            </w:r>
            <w:r w:rsidRPr="008D12B3">
              <w:rPr>
                <w:sz w:val="23"/>
                <w:szCs w:val="23"/>
              </w:rPr>
              <w:t>w sprawie</w:t>
            </w:r>
            <w:r>
              <w:rPr>
                <w:sz w:val="23"/>
                <w:szCs w:val="23"/>
              </w:rPr>
              <w:t xml:space="preserve"> rozpatrzenia petycji mieszkańców miejscowości Regów uchwalił, że</w:t>
            </w:r>
            <w:r w:rsidRPr="00C25F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</w:t>
            </w:r>
            <w:r w:rsidR="00C25FC4" w:rsidRPr="00C25FC4">
              <w:rPr>
                <w:sz w:val="23"/>
                <w:szCs w:val="23"/>
              </w:rPr>
              <w:t>ontynuacja budowy chodnika będzie realizowana po wykonaniu pilniejszych</w:t>
            </w:r>
            <w:r w:rsidR="004E3DCC">
              <w:rPr>
                <w:sz w:val="23"/>
                <w:szCs w:val="23"/>
              </w:rPr>
              <w:t xml:space="preserve"> </w:t>
            </w:r>
            <w:r w:rsidR="00C25FC4" w:rsidRPr="00C25FC4">
              <w:rPr>
                <w:sz w:val="23"/>
                <w:szCs w:val="23"/>
              </w:rPr>
              <w:t>odcinków przy bardziej ruchliwych drogach powiatowych. Na termin realizacji chodnika</w:t>
            </w:r>
            <w:r w:rsidR="004E3DCC">
              <w:rPr>
                <w:sz w:val="23"/>
                <w:szCs w:val="23"/>
              </w:rPr>
              <w:t xml:space="preserve"> będzie miało w</w:t>
            </w:r>
            <w:r w:rsidR="00C25FC4" w:rsidRPr="00C25FC4">
              <w:rPr>
                <w:sz w:val="23"/>
                <w:szCs w:val="23"/>
              </w:rPr>
              <w:t>pływ także dalsze wsparcie finansowe Gminy Baranów.</w:t>
            </w:r>
          </w:p>
        </w:tc>
      </w:tr>
    </w:tbl>
    <w:p w:rsidR="004E61E6" w:rsidRDefault="004E61E6"/>
    <w:sectPr w:rsidR="004E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63"/>
    <w:rsid w:val="00042F13"/>
    <w:rsid w:val="0017245B"/>
    <w:rsid w:val="00172CA2"/>
    <w:rsid w:val="001F1A3E"/>
    <w:rsid w:val="00283E39"/>
    <w:rsid w:val="002A2C0F"/>
    <w:rsid w:val="0032081A"/>
    <w:rsid w:val="00333C8D"/>
    <w:rsid w:val="003A162C"/>
    <w:rsid w:val="003B19CB"/>
    <w:rsid w:val="003D51BB"/>
    <w:rsid w:val="004E3DCC"/>
    <w:rsid w:val="004E61E6"/>
    <w:rsid w:val="006536AC"/>
    <w:rsid w:val="00777402"/>
    <w:rsid w:val="007B6B68"/>
    <w:rsid w:val="007E2297"/>
    <w:rsid w:val="008D12B3"/>
    <w:rsid w:val="008D7C66"/>
    <w:rsid w:val="009C6F63"/>
    <w:rsid w:val="00A17A80"/>
    <w:rsid w:val="00B01107"/>
    <w:rsid w:val="00B8085C"/>
    <w:rsid w:val="00C25FC4"/>
    <w:rsid w:val="00C75675"/>
    <w:rsid w:val="00E6038C"/>
    <w:rsid w:val="00F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BC180-B768-4821-B361-06111FFE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Strzelczyk</dc:creator>
  <cp:keywords/>
  <dc:description/>
  <cp:lastModifiedBy>Elwira Strzelczyk</cp:lastModifiedBy>
  <cp:revision>10</cp:revision>
  <cp:lastPrinted>2020-06-23T12:12:00Z</cp:lastPrinted>
  <dcterms:created xsi:type="dcterms:W3CDTF">2020-06-19T10:32:00Z</dcterms:created>
  <dcterms:modified xsi:type="dcterms:W3CDTF">2020-06-24T08:01:00Z</dcterms:modified>
</cp:coreProperties>
</file>